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160"/>
        <w:tblBorders>
          <w:top w:val="none" w:color="FFFFFF" w:sz="0"/>
          <w:left w:val="none" w:color="FFFFFF" w:sz="0"/>
          <w:bottom w:val="none" w:color="FFFFFF" w:sz="0"/>
          <w:right w:val="none" w:color="FFFFFF" w:sz="0"/>
          <w:insideH w:val="single" w:color="auto" w:sz="4"/>
          <w:insideV w:val="single" w:color="auto" w:sz="4"/>
        </w:tblBorders>
      </w:tblPr>
      <w:tblGrid>
        <w:gridCol w:w="2000"/>
        <w:gridCol w:w="5160"/>
        <w:gridCol w:w="2000"/>
      </w:tblGrid>
      <w:tr>
        <w:tc>
          <w:tcPr>
            <w:tcW w:type="dxa" w:w="2000"/>
            <w:tcBorders>
              <w:top w:val="none" w:color="FFFFFF" w:sz="0"/>
              <w:left w:val="none" w:color="FFFFFF" w:sz="0"/>
              <w:bottom w:val="none" w:color="FFFFFF" w:sz="0"/>
              <w:right w:val="none" w:color="FFFFFF" w:sz="0"/>
            </w:tcBorders>
            <w:tcMar>
              <w:top w:type="dxa" w:w="0"/>
              <w:left w:type="dxa" w:w="0"/>
              <w:bottom w:type="dxa" w:w="0"/>
              <w:right w:type="dxa" w:w="200"/>
            </w:tcMar>
            <w:vAlign w:val="center"/>
          </w:tcPr>
          <w:p>
            <w:pPr>
              <w:jc w:val="left"/>
            </w:pPr>
            <w:r>
              <w:drawing>
                <wp:inline distT="0" distB="0" distL="0" distR="0">
                  <wp:extent cx="1552575" cy="7048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552575" cy="704850"/>
                          </a:xfrm>
                          <a:prstGeom prst="rect">
                            <a:avLst/>
                          </a:prstGeom>
                        </pic:spPr>
                      </pic:pic>
                    </a:graphicData>
                  </a:graphic>
                </wp:inline>
              </w:drawing>
            </w:r>
          </w:p>
        </w:tc>
        <w:tc>
          <w:tcPr>
            <w:tcW w:type="dxa" w:w="5160"/>
            <w:tcBorders>
              <w:top w:val="none" w:color="FFFFFF" w:sz="0"/>
              <w:left w:val="none" w:color="FFFFFF" w:sz="0"/>
              <w:bottom w:val="none" w:color="FFFFFF" w:sz="0"/>
              <w:right w:val="none" w:color="FFFFFF" w:sz="0"/>
            </w:tcBorders>
            <w:tcMar>
              <w:top w:type="dxa" w:w="0"/>
              <w:left w:type="dxa" w:w="200"/>
              <w:bottom w:type="dxa" w:w="0"/>
              <w:right w:type="dxa" w:w="200"/>
            </w:tcMar>
            <w:vAlign w:val="center"/>
          </w:tcPr>
          <w:p>
            <w:pPr>
              <w:spacing w:after="60"/>
              <w:jc w:val="center"/>
            </w:pPr>
            <w:r>
              <w:rPr>
                <w:rFonts w:ascii="Arial" w:cs="Arial" w:eastAsia="Arial" w:hAnsi="Arial"/>
                <w:b/>
                <w:bCs/>
                <w:caps/>
                <w:color w:val="000000"/>
                <w:spacing w:val="60"/>
                <w:sz w:val="40"/>
                <w:szCs w:val="40"/>
              </w:rPr>
              <w:t xml:space="preserve">KAYE DORAN</w:t>
            </w:r>
          </w:p>
          <w:p>
            <w:pPr>
              <w:spacing w:after="80"/>
              <w:jc w:val="center"/>
            </w:pPr>
            <w:r>
              <w:rPr>
                <w:rFonts w:ascii="Arial" w:cs="Arial" w:eastAsia="Arial" w:hAnsi="Arial"/>
                <w:color w:val="C51923"/>
                <w:spacing w:val="20"/>
                <w:sz w:val="18"/>
                <w:szCs w:val="18"/>
              </w:rPr>
              <w:t xml:space="preserve">Keynote Speaker  |  Shamanic Leadership Voice</w:t>
            </w:r>
          </w:p>
          <w:p>
            <w:pPr>
              <w:pBdr>
                <w:bottom w:val="single" w:color="137580" w:sz="4" w:space="4"/>
              </w:pBdr>
              <w:spacing w:after="80"/>
              <w:jc w:val="center"/>
            </w:pPr>
            <w:r>
              <w:rPr>
                <w:rFonts w:ascii="Georgia" w:cs="Georgia" w:eastAsia="Georgia" w:hAnsi="Georgia"/>
                <w:b/>
                <w:bCs/>
                <w:i/>
                <w:iCs/>
                <w:color w:val="137580"/>
                <w:sz w:val="18"/>
                <w:szCs w:val="18"/>
              </w:rPr>
              <w:t xml:space="preserve">Shamanic Depth. Corporate Command.</w:t>
            </w:r>
          </w:p>
          <w:p>
            <w:pPr>
              <w:spacing w:after="40"/>
              <w:jc w:val="center"/>
            </w:pPr>
            <w:r>
              <w:rPr>
                <w:rFonts w:ascii="Arial" w:cs="Arial" w:eastAsia="Arial" w:hAnsi="Arial"/>
                <w:b/>
                <w:bCs/>
                <w:caps/>
                <w:color w:val="540115"/>
                <w:spacing w:val="30"/>
                <w:sz w:val="17"/>
                <w:szCs w:val="17"/>
              </w:rPr>
              <w:t xml:space="preserve">Keynote Topic Three</w:t>
            </w:r>
          </w:p>
        </w:tc>
        <w:tc>
          <w:tcPr>
            <w:tcW w:type="dxa" w:w="2000"/>
            <w:tcBorders>
              <w:top w:val="none" w:color="FFFFFF" w:sz="0"/>
              <w:left w:val="none" w:color="FFFFFF" w:sz="0"/>
              <w:bottom w:val="none" w:color="FFFFFF" w:sz="0"/>
              <w:right w:val="none" w:color="FFFFFF" w:sz="0"/>
            </w:tcBorders>
            <w:tcMar>
              <w:top w:type="dxa" w:w="0"/>
              <w:left w:type="dxa" w:w="200"/>
              <w:bottom w:type="dxa" w:w="0"/>
              <w:right w:type="dxa" w:w="0"/>
            </w:tcMar>
            <w:vAlign w:val="center"/>
          </w:tcPr>
          <w:p>
            <w:pPr>
              <w:jc w:val="right"/>
            </w:pPr>
            <w:r>
              <w:drawing>
                <wp:inline distT="0" distB="0" distL="0" distR="0">
                  <wp:extent cx="1238250" cy="18288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238250" cy="1828800"/>
                          </a:xfrm>
                          <a:prstGeom prst="rect">
                            <a:avLst/>
                          </a:prstGeom>
                        </pic:spPr>
                      </pic:pic>
                    </a:graphicData>
                  </a:graphic>
                </wp:inline>
              </w:drawing>
            </w:r>
          </w:p>
        </w:tc>
      </w:tr>
    </w:tbl>
    <w:p>
      <w:pPr>
        <w:pBdr>
          <w:bottom w:val="single" w:color="C51923" w:sz="12" w:space="1"/>
        </w:pBdr>
        <w:spacing w:after="320" w:before="140"/>
      </w:pPr>
    </w:p>
    <w:p>
      <w:pPr>
        <w:spacing w:after="60"/>
      </w:pPr>
      <w:r>
        <w:rPr>
          <w:rFonts w:ascii="Arial" w:cs="Arial" w:eastAsia="Arial" w:hAnsi="Arial"/>
          <w:b/>
          <w:bCs/>
          <w:caps/>
          <w:color w:val="540115"/>
          <w:spacing w:val="40"/>
          <w:sz w:val="32"/>
          <w:szCs w:val="32"/>
        </w:rPr>
        <w:t xml:space="preserve">THE CRISIS OF COPING</w:t>
      </w:r>
    </w:p>
    <w:p>
      <w:pPr>
        <w:spacing w:after="200"/>
      </w:pPr>
      <w:r>
        <w:rPr>
          <w:rFonts w:ascii="Georgia" w:cs="Georgia" w:eastAsia="Georgia" w:hAnsi="Georgia"/>
          <w:i/>
          <w:iCs/>
          <w:color w:val="137580"/>
          <w:sz w:val="22"/>
          <w:szCs w:val="22"/>
        </w:rPr>
        <w:t xml:space="preserve">Why coping quietly erodes capacity</w:t>
      </w:r>
    </w:p>
    <w:p>
      <w:pPr>
        <w:spacing w:after="220" w:line="320" w:lineRule="auto"/>
      </w:pPr>
      <w:r>
        <w:rPr>
          <w:rFonts w:ascii="Georgia" w:cs="Georgia" w:eastAsia="Georgia" w:hAnsi="Georgia"/>
          <w:b w:val="false"/>
          <w:bCs w:val="false"/>
          <w:i w:val="false"/>
          <w:iCs w:val="false"/>
          <w:color w:val="000000"/>
          <w:sz w:val="22"/>
          <w:szCs w:val="22"/>
        </w:rPr>
        <w:t xml:space="preserve">Many professionals manage sustained pressure, emotional load, and cognitive demand by holding themselves together and pushing through. On the outside they appear capable, composed, and in control. On the inside, the strain is accumulating. This creates a quiet dilemma that is rarely spoken about openly: the gap between how someone appears and how they actually feel. There is no clear unpacking of the working day — no process that transitions the mind and body from the demands of professional life into a more relaxed and present personal life. The two blur into one. Over time, this quiet coping erodes focus, resilience, and personal capacity. The body holds what the mind refuses to address. Decisions become reactive. Energy depletes. Relationships at work and at home begin to carry the weight. Yet because the person is still functioning, the erosion goes unnoticed — until it can no longer be ignored.</w:t>
      </w:r>
    </w:p>
    <w:p>
      <w:pPr>
        <w:spacing w:after="220" w:line="320" w:lineRule="auto"/>
      </w:pPr>
      <w:r>
        <w:rPr>
          <w:rFonts w:ascii="Georgia" w:cs="Georgia" w:eastAsia="Georgia" w:hAnsi="Georgia"/>
          <w:b w:val="false"/>
          <w:bCs w:val="false"/>
          <w:i w:val="false"/>
          <w:iCs w:val="false"/>
          <w:color w:val="000000"/>
          <w:sz w:val="22"/>
          <w:szCs w:val="22"/>
        </w:rPr>
        <w:t xml:space="preserve">Kaye Doran goes beneath conventional wellbeing advice to address what is happening beneath the surface. Bridging the personal and professional, she helps leaders understand how their internal state shapes their performance, relationships, and decision-making at work and at home. She reveals the subconscious patterns and false stories that keep people locked in cycles of coping rather than truly leading their lives. When these are recognised and shifted, clarity returns, emotional balance is restored, and the capacity to lead with presence and purpose is renewed.</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Your audience will walk away with the ability to:</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Recognise how sustained mental and emotional load quietly erodes focus, resilience, and personal capacity over time</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Understand how their internal state shapes their effectiveness, relationships, and decision-making at work and at home</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Demonstrate practical ways to settle cognitive and emotional overload, restore perspective, and maintain clarity and presence under pressure — without self-sacrifice</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Who this is for:</w:t>
      </w:r>
    </w:p>
    <w:p>
      <w:pPr>
        <w:spacing w:after="220" w:line="320" w:lineRule="auto"/>
      </w:pPr>
      <w:r>
        <w:rPr>
          <w:rFonts w:ascii="Georgia" w:cs="Georgia" w:eastAsia="Georgia" w:hAnsi="Georgia"/>
          <w:b w:val="false"/>
          <w:bCs w:val="false"/>
          <w:i w:val="false"/>
          <w:iCs w:val="false"/>
          <w:color w:val="000000"/>
          <w:sz w:val="22"/>
          <w:szCs w:val="22"/>
        </w:rPr>
        <w:t xml:space="preserve">For professionals navigating sustained mental and emotional demands at work and noticing the cumulative cost of coping. Particularly relevant for those balancing performance expectations, responsibility, and personal life where boundaries between work and home have quietly blurred — and who want to remain engaged, clear, and effective while restoring internal steadiness across all areas of life.</w:t>
      </w:r>
    </w:p>
    <w:p>
      <w:pPr>
        <w:pBdr>
          <w:bottom w:val="single" w:color="CCCCCC" w:sz="6" w:space="1"/>
        </w:pBdr>
        <w:spacing w:after="280" w:before="240"/>
      </w:pPr>
    </w:p>
    <w:p>
      <w:pPr>
        <w:spacing w:after="100"/>
      </w:pPr>
      <w:r>
        <w:rPr>
          <w:rFonts w:ascii="Arial" w:cs="Arial" w:eastAsia="Arial" w:hAnsi="Arial"/>
          <w:b/>
          <w:bCs/>
          <w:caps/>
          <w:color w:val="540115"/>
          <w:spacing w:val="30"/>
          <w:sz w:val="18"/>
          <w:szCs w:val="18"/>
        </w:rPr>
        <w:t xml:space="preserve">Delivery Formats</w:t>
      </w:r>
    </w:p>
    <w:p>
      <w:pPr>
        <w:spacing w:after="200"/>
      </w:pPr>
      <w:r>
        <w:rPr>
          <w:rFonts w:ascii="Arial" w:cs="Arial" w:eastAsia="Arial" w:hAnsi="Arial"/>
          <w:color w:val="000000"/>
          <w:sz w:val="20"/>
          <w:szCs w:val="20"/>
        </w:rPr>
        <w:t xml:space="preserve">Keynote Presentation  |  Half-Day Workshop  |  Full-Day Leadership Workshop</w:t>
      </w:r>
    </w:p>
    <w:p>
      <w:pPr>
        <w:spacing w:after="0"/>
      </w:pPr>
      <w:r>
        <w:rPr>
          <w:rFonts w:ascii="Georgia" w:cs="Georgia" w:eastAsia="Georgia" w:hAnsi="Georgia"/>
          <w:i/>
          <w:iCs/>
          <w:color w:val="666666"/>
          <w:sz w:val="19"/>
          <w:szCs w:val="19"/>
        </w:rPr>
        <w:t xml:space="preserve">All topics can be tailored to your event format, audience, and time requirements. Kaye works closely with event organisers to ensure the content lands for your specific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40115" w:sz="4" w:space="6"/>
      </w:pBdr>
      <w:tabs>
        <w:tab w:val="right" w:pos="9026"/>
      </w:tabs>
      <w:spacing w:before="80"/>
    </w:pPr>
    <w:r>
      <w:rPr>
        <w:rFonts w:ascii="Arial" w:cs="Arial" w:eastAsia="Arial" w:hAnsi="Arial"/>
        <w:color w:val="540115"/>
        <w:sz w:val="16"/>
        <w:szCs w:val="16"/>
      </w:rPr>
      <w:t xml:space="preserve">kaye@kayedoran.com  |  +61 413 785 910  |  kayedoran.com</w:t>
    </w:r>
    <w:r>
      <w:t xml:space="preserve">	</w:t>
    </w:r>
    <w:r>
      <w:rPr>
        <w:rFonts w:ascii="Arial" w:cs="Arial" w:eastAsia="Arial" w:hAnsi="Arial"/>
        <w:color w:val="999999"/>
        <w:sz w:val="16"/>
        <w:szCs w:val="16"/>
      </w:rPr>
      <w:t xml:space="preserve">© Kaye Doran Inner Expressions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color w:val="C51923"/>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4290241f06b4478b20603d37e2aa3ede5d5b342b.jpg"/><Relationship Id="rId9" Type="http://schemas.openxmlformats.org/officeDocument/2006/relationships/image" Target="media/120545f5506998f740b8c5ef9f4b633d76ade473.jp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2026-05-11T04:01:12.430Z</dcterms:created>
  <dcterms:modified xsi:type="dcterms:W3CDTF">2026-05-11T04:01:12.430Z</dcterms:modified>
</cp:coreProperties>
</file>

<file path=docProps/custom.xml><?xml version="1.0" encoding="utf-8"?>
<Properties xmlns="http://schemas.openxmlformats.org/officeDocument/2006/custom-properties" xmlns:vt="http://schemas.openxmlformats.org/officeDocument/2006/docPropsVTypes"/>
</file>